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Pr="0071243E" w:rsidRDefault="0046328E" w:rsidP="003E2C1D">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Lung Cancer</w:t>
      </w:r>
    </w:p>
    <w:p w:rsidR="003E2C1D" w:rsidRPr="0071243E" w:rsidRDefault="0046328E" w:rsidP="003E2C1D">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Student Name</w:t>
      </w:r>
    </w:p>
    <w:p w:rsidR="003E2C1D" w:rsidRPr="0071243E" w:rsidRDefault="0046328E" w:rsidP="003E2C1D">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Institution Affiliation</w:t>
      </w:r>
    </w:p>
    <w:p w:rsidR="003E2C1D" w:rsidRPr="0071243E" w:rsidRDefault="0046328E" w:rsidP="003E2C1D">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Date</w:t>
      </w:r>
    </w:p>
    <w:p w:rsidR="003E2C1D" w:rsidRDefault="003E2C1D" w:rsidP="003E2C1D">
      <w:pPr>
        <w:jc w:val="cente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3E2C1D" w:rsidRDefault="003E2C1D">
      <w:pPr>
        <w:rPr>
          <w:b/>
          <w:bCs/>
        </w:rPr>
      </w:pPr>
    </w:p>
    <w:p w:rsidR="00533917"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lastRenderedPageBreak/>
        <w:t>Lung Cancer</w:t>
      </w:r>
    </w:p>
    <w:p w:rsidR="00533917" w:rsidRPr="003E2C1D" w:rsidRDefault="0046328E" w:rsidP="003E2C1D">
      <w:pPr>
        <w:spacing w:after="0" w:line="480" w:lineRule="auto"/>
        <w:ind w:firstLine="851"/>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 xml:space="preserve">Lung cancer is a malignancy that originates from the lung tissues. Lung cancer is acknowledged as the leading cause of mortality among all cancers. Men have the highest prevalence of lung malignancy as it occurs among 585 per 100,000 men who are at the age of 85-89 years. In women, the prevalence is 365 per 100,000 women between </w:t>
      </w:r>
      <w:r w:rsidR="0070591B" w:rsidRPr="003E2C1D">
        <w:rPr>
          <w:rFonts w:ascii="Times New Roman" w:hAnsi="Times New Roman" w:cs="Times New Roman"/>
          <w:color w:val="000000" w:themeColor="text1"/>
          <w:sz w:val="24"/>
          <w:szCs w:val="24"/>
        </w:rPr>
        <w:t>ages</w:t>
      </w:r>
      <w:r w:rsidRPr="003E2C1D">
        <w:rPr>
          <w:rFonts w:ascii="Times New Roman" w:hAnsi="Times New Roman" w:cs="Times New Roman"/>
          <w:color w:val="000000" w:themeColor="text1"/>
          <w:sz w:val="24"/>
          <w:szCs w:val="24"/>
        </w:rPr>
        <w:t xml:space="preserve"> 75-79 years</w:t>
      </w:r>
      <w:r w:rsidR="003E7069" w:rsidRPr="003E2C1D">
        <w:rPr>
          <w:rFonts w:ascii="Times New Roman" w:hAnsi="Times New Roman" w:cs="Times New Roman"/>
          <w:color w:val="000000" w:themeColor="text1"/>
          <w:sz w:val="24"/>
          <w:szCs w:val="24"/>
        </w:rPr>
        <w:t xml:space="preserve"> (de Groot et al., 2018)</w:t>
      </w:r>
      <w:r w:rsidRPr="003E2C1D">
        <w:rPr>
          <w:rFonts w:ascii="Times New Roman" w:hAnsi="Times New Roman" w:cs="Times New Roman"/>
          <w:color w:val="000000" w:themeColor="text1"/>
          <w:sz w:val="24"/>
          <w:szCs w:val="24"/>
        </w:rPr>
        <w:t>.</w:t>
      </w:r>
      <w:r w:rsidR="007D4516" w:rsidRPr="003E2C1D">
        <w:rPr>
          <w:rFonts w:ascii="Times New Roman" w:hAnsi="Times New Roman" w:cs="Times New Roman"/>
          <w:color w:val="000000" w:themeColor="text1"/>
          <w:sz w:val="24"/>
          <w:szCs w:val="24"/>
        </w:rPr>
        <w:t xml:space="preserve"> The disease is the leading cause of mortality among women who are over 59 years and men who are over 40 years.</w:t>
      </w:r>
      <w:r w:rsidRPr="003E2C1D">
        <w:rPr>
          <w:rFonts w:ascii="Times New Roman" w:hAnsi="Times New Roman" w:cs="Times New Roman"/>
          <w:color w:val="000000" w:themeColor="text1"/>
          <w:sz w:val="24"/>
          <w:szCs w:val="24"/>
        </w:rPr>
        <w:t xml:space="preserve"> Individuals who smoke are at a greater risk of developing the disease; however, the disease can occur among those individuals who do not smoke. Research shows that the risk for developing the disease is directly proportional to the number of cigarettes an individual has smoked. </w:t>
      </w:r>
    </w:p>
    <w:p w:rsidR="00041E83"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t>Pathophysiology</w:t>
      </w:r>
    </w:p>
    <w:p w:rsidR="00380BF5" w:rsidRPr="003E2C1D" w:rsidRDefault="0046328E" w:rsidP="003E2C1D">
      <w:pPr>
        <w:spacing w:after="0" w:line="480" w:lineRule="auto"/>
        <w:ind w:firstLine="851"/>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The pathophysiology of cancer is explained by the exposure of the lungs to carcinogens (specifically cigarette smoke). The exposure of the lungs to the carcinogen leads to lung epithelium dysplasia. The consistent exposure to carcinogens leads to genetic mutations that affect protein synthesis. More so, the disruption of the cell cycle occurs which promotes carcinogenesis. The common genetic mutation in lung cancer includes p53, BCL2, and MYC (for small cell lung cancer (SCLC) and p16, KRAS and EGFR (for non-small cell lung cancer (NSCLC)</w:t>
      </w:r>
      <w:r w:rsidR="003E7069" w:rsidRPr="003E2C1D">
        <w:rPr>
          <w:rFonts w:ascii="Times New Roman" w:hAnsi="Times New Roman" w:cs="Times New Roman"/>
          <w:color w:val="000000" w:themeColor="text1"/>
          <w:sz w:val="24"/>
          <w:szCs w:val="24"/>
        </w:rPr>
        <w:t xml:space="preserve"> (Lemjabbar</w:t>
      </w:r>
      <w:r w:rsidR="003E2C1D" w:rsidRPr="003E2C1D">
        <w:rPr>
          <w:rFonts w:ascii="Times New Roman" w:hAnsi="Times New Roman" w:cs="Times New Roman"/>
          <w:color w:val="000000" w:themeColor="text1"/>
          <w:sz w:val="24"/>
          <w:szCs w:val="24"/>
        </w:rPr>
        <w:t>-Alaoui et al., 2015)</w:t>
      </w:r>
      <w:r w:rsidRPr="003E2C1D">
        <w:rPr>
          <w:rFonts w:ascii="Times New Roman" w:hAnsi="Times New Roman" w:cs="Times New Roman"/>
          <w:color w:val="000000" w:themeColor="text1"/>
          <w:sz w:val="24"/>
          <w:szCs w:val="24"/>
        </w:rPr>
        <w:t xml:space="preserve">. SCLC is linked to small cells with scant cytoplasm and nucleoli that are non-distinct. </w:t>
      </w:r>
      <w:r w:rsidR="002655C8" w:rsidRPr="003E2C1D">
        <w:rPr>
          <w:rFonts w:ascii="Times New Roman" w:hAnsi="Times New Roman" w:cs="Times New Roman"/>
          <w:color w:val="000000" w:themeColor="text1"/>
          <w:sz w:val="24"/>
          <w:szCs w:val="24"/>
        </w:rPr>
        <w:t xml:space="preserve">According to WHO (World health organization), SCLC is characterized into the combined cell (SCLC with a component of NSCLC- adenocarcinoma and squamous), intermediate, and oat call. SCLC has a greater doubling time and it metastasizes early. It affects the central nervous stem, bone, and liver. NSCLC has contained squamous cells, Adenosquamous carcinoma, adenocarcinoma, large cell carcinoma, and carcinoid tumors which are associated with the development of malignancy after exposure to carcinogens. More so, cancer can affect the immune system as </w:t>
      </w:r>
      <w:r w:rsidR="002655C8" w:rsidRPr="003E2C1D">
        <w:rPr>
          <w:rFonts w:ascii="Times New Roman" w:hAnsi="Times New Roman" w:cs="Times New Roman"/>
          <w:color w:val="000000" w:themeColor="text1"/>
          <w:sz w:val="24"/>
          <w:szCs w:val="24"/>
        </w:rPr>
        <w:lastRenderedPageBreak/>
        <w:t>it metastasizes to the bone marrow. Bone marrow which is essential in the production of blood cells is affected which influences the decrease in the production of white blood cells for enhancing the immune system</w:t>
      </w:r>
      <w:r w:rsidR="003E2C1D" w:rsidRPr="003E2C1D">
        <w:rPr>
          <w:rFonts w:ascii="Times New Roman" w:hAnsi="Times New Roman" w:cs="Times New Roman"/>
          <w:color w:val="000000" w:themeColor="text1"/>
          <w:sz w:val="24"/>
          <w:szCs w:val="24"/>
        </w:rPr>
        <w:t xml:space="preserve"> (Lemjabbar-Alaoui et al., 2015)</w:t>
      </w:r>
      <w:r w:rsidR="002655C8" w:rsidRPr="003E2C1D">
        <w:rPr>
          <w:rFonts w:ascii="Times New Roman" w:hAnsi="Times New Roman" w:cs="Times New Roman"/>
          <w:color w:val="000000" w:themeColor="text1"/>
          <w:sz w:val="24"/>
          <w:szCs w:val="24"/>
        </w:rPr>
        <w:t>. More so, treatment processes such as radiotherapy</w:t>
      </w:r>
      <w:r w:rsidR="002C7A16" w:rsidRPr="003E2C1D">
        <w:rPr>
          <w:rFonts w:ascii="Times New Roman" w:hAnsi="Times New Roman" w:cs="Times New Roman"/>
          <w:color w:val="000000" w:themeColor="text1"/>
          <w:sz w:val="24"/>
          <w:szCs w:val="24"/>
        </w:rPr>
        <w:t xml:space="preserve">, steroids, and chemotherapy </w:t>
      </w:r>
      <w:r w:rsidR="008F517D" w:rsidRPr="003E2C1D">
        <w:rPr>
          <w:rFonts w:ascii="Times New Roman" w:hAnsi="Times New Roman" w:cs="Times New Roman"/>
          <w:color w:val="000000" w:themeColor="text1"/>
          <w:sz w:val="24"/>
          <w:szCs w:val="24"/>
        </w:rPr>
        <w:t>cause</w:t>
      </w:r>
      <w:r w:rsidR="002C7A16" w:rsidRPr="003E2C1D">
        <w:rPr>
          <w:rFonts w:ascii="Times New Roman" w:hAnsi="Times New Roman" w:cs="Times New Roman"/>
          <w:color w:val="000000" w:themeColor="text1"/>
          <w:sz w:val="24"/>
          <w:szCs w:val="24"/>
        </w:rPr>
        <w:t xml:space="preserve"> a diminished number of white blood cells which weakens the immune system. </w:t>
      </w:r>
      <w:r w:rsidR="008F517D" w:rsidRPr="003E2C1D">
        <w:rPr>
          <w:rFonts w:ascii="Times New Roman" w:hAnsi="Times New Roman" w:cs="Times New Roman"/>
          <w:color w:val="000000" w:themeColor="text1"/>
          <w:sz w:val="24"/>
          <w:szCs w:val="24"/>
        </w:rPr>
        <w:t xml:space="preserve">The clinical manifestations of lung malignancy include cough for more than 3 weeks, consistent chest infections, coughing blood, pain on respiration or coughing, dyspnea, fatigue, weight loss, and anorexia. Other symptoms </w:t>
      </w:r>
      <w:r w:rsidRPr="003E2C1D">
        <w:rPr>
          <w:rFonts w:ascii="Times New Roman" w:hAnsi="Times New Roman" w:cs="Times New Roman"/>
          <w:color w:val="000000" w:themeColor="text1"/>
          <w:sz w:val="24"/>
          <w:szCs w:val="24"/>
        </w:rPr>
        <w:t>include</w:t>
      </w:r>
      <w:r w:rsidR="008F517D" w:rsidRPr="003E2C1D">
        <w:rPr>
          <w:rFonts w:ascii="Times New Roman" w:hAnsi="Times New Roman" w:cs="Times New Roman"/>
          <w:color w:val="000000" w:themeColor="text1"/>
          <w:sz w:val="24"/>
          <w:szCs w:val="24"/>
        </w:rPr>
        <w:t xml:space="preserve"> clubbing of fingers, dysphagia, wheezing, consistent shoulder or chest pain, edema of the face, and horse voice. </w:t>
      </w:r>
    </w:p>
    <w:p w:rsidR="00380BF5"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t>Diagnostic Tests</w:t>
      </w:r>
    </w:p>
    <w:p w:rsidR="00380BF5" w:rsidRPr="003E2C1D" w:rsidRDefault="0046328E" w:rsidP="003E2C1D">
      <w:pPr>
        <w:spacing w:after="0" w:line="480" w:lineRule="auto"/>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 xml:space="preserve">Chest X-ray- this is a significant diagnostic test as it will reveal the changes in the structures of the chest. The images from chest X-ray can reveal tumors that are 1 cm or wider. </w:t>
      </w:r>
    </w:p>
    <w:p w:rsidR="00380BF5" w:rsidRPr="003E2C1D" w:rsidRDefault="0046328E" w:rsidP="003E2C1D">
      <w:pPr>
        <w:spacing w:after="0" w:line="480" w:lineRule="auto"/>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CT scan-this is an essential procedure as it enhances the diagnosis of smaller tumors than the chest X-rays.</w:t>
      </w:r>
    </w:p>
    <w:p w:rsidR="00380BF5" w:rsidRPr="003E2C1D" w:rsidRDefault="0046328E" w:rsidP="003E2C1D">
      <w:pPr>
        <w:spacing w:after="0" w:line="480" w:lineRule="auto"/>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Spirometry- this test evaluates how the lungs are functioning. It evaluates how quickly the lungs are filled with air on inspiration and how long it takes for the lungs to be emptied</w:t>
      </w:r>
      <w:r w:rsidR="003E2C1D" w:rsidRPr="003E2C1D">
        <w:rPr>
          <w:rFonts w:ascii="Times New Roman" w:hAnsi="Times New Roman" w:cs="Times New Roman"/>
          <w:color w:val="000000" w:themeColor="text1"/>
          <w:sz w:val="24"/>
          <w:szCs w:val="24"/>
        </w:rPr>
        <w:t xml:space="preserve"> (Jones &amp; Baldwin, 2018)</w:t>
      </w:r>
      <w:r w:rsidRPr="003E2C1D">
        <w:rPr>
          <w:rFonts w:ascii="Times New Roman" w:hAnsi="Times New Roman" w:cs="Times New Roman"/>
          <w:color w:val="000000" w:themeColor="text1"/>
          <w:sz w:val="24"/>
          <w:szCs w:val="24"/>
        </w:rPr>
        <w:t xml:space="preserve">. </w:t>
      </w:r>
    </w:p>
    <w:p w:rsidR="00380BF5" w:rsidRPr="003E2C1D" w:rsidRDefault="0046328E" w:rsidP="003E2C1D">
      <w:pPr>
        <w:spacing w:after="0" w:line="480" w:lineRule="auto"/>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 xml:space="preserve">Blood tests- full blood counts should be done to evaluate the number of blood cells and to assess how the liver and kidneys are functioning which provides information if cancer has metastasized. </w:t>
      </w:r>
    </w:p>
    <w:p w:rsidR="00380BF5" w:rsidRPr="003E2C1D" w:rsidRDefault="0046328E" w:rsidP="003E2C1D">
      <w:pPr>
        <w:spacing w:after="0" w:line="480" w:lineRule="auto"/>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 xml:space="preserve">Biopsy- This is the confirmatory test for lung cancer. </w:t>
      </w:r>
      <w:r w:rsidR="00BC1083" w:rsidRPr="003E2C1D">
        <w:rPr>
          <w:rFonts w:ascii="Times New Roman" w:hAnsi="Times New Roman" w:cs="Times New Roman"/>
          <w:color w:val="000000" w:themeColor="text1"/>
          <w:sz w:val="24"/>
          <w:szCs w:val="24"/>
        </w:rPr>
        <w:t xml:space="preserve">It is done by accessing a small tissue from the lungs or the nearby lymph nodes and the tissue is examined under a microscope. The changes in the lung or lymph node tissues provide a piece of essential information concerning the abnormalities of the cells that are affected. </w:t>
      </w:r>
    </w:p>
    <w:p w:rsidR="002B0E0D"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t>Treatment</w:t>
      </w:r>
    </w:p>
    <w:p w:rsidR="002B0E0D" w:rsidRPr="003E2C1D" w:rsidRDefault="0046328E" w:rsidP="003E2C1D">
      <w:pPr>
        <w:spacing w:after="0" w:line="480" w:lineRule="auto"/>
        <w:ind w:firstLine="851"/>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lastRenderedPageBreak/>
        <w:t xml:space="preserve">Center for disease control (CDC) (2020) provides different modalities for lung cancer treatment that have been supported by different researchers. However, the treatment is used depending on the extent of the spread of the disease. One of the treatment modes is the use of surgery to remove the </w:t>
      </w:r>
      <w:r w:rsidR="004F007C" w:rsidRPr="003E2C1D">
        <w:rPr>
          <w:rFonts w:ascii="Times New Roman" w:hAnsi="Times New Roman" w:cs="Times New Roman"/>
          <w:color w:val="000000" w:themeColor="text1"/>
          <w:sz w:val="24"/>
          <w:szCs w:val="24"/>
        </w:rPr>
        <w:t>cancer tissue on the lungs. Two common options of surgical approaches are used; thoracotomy wh</w:t>
      </w:r>
      <w:r w:rsidR="00B74657" w:rsidRPr="003E2C1D">
        <w:rPr>
          <w:rFonts w:ascii="Times New Roman" w:hAnsi="Times New Roman" w:cs="Times New Roman"/>
          <w:color w:val="000000" w:themeColor="text1"/>
          <w:sz w:val="24"/>
          <w:szCs w:val="24"/>
        </w:rPr>
        <w:t>ich involves the incision of the lateral and dorsal part of the chest to access the lungs tissues and video-assisted thoracoscopic surgery which utilizes minimal cuts to access the lungs. Surgery is the initial treatment for lung cancer in the early stages. Chemotherapy is another mode that uses medications to kill cancerous cells. In NSCLC drugs such as cisplatin, etoposide, paclitaxel, carboplatin, and vinorelbine among others are used. SCLC is managed using a combination of medications such as carboplatin and irinotecan, carboplatin and etoposide, cisplatin and etoposide, and cisplatin and irinotecan</w:t>
      </w:r>
      <w:r w:rsidR="003E2C1D" w:rsidRPr="003E2C1D">
        <w:rPr>
          <w:rFonts w:ascii="Times New Roman" w:hAnsi="Times New Roman" w:cs="Times New Roman"/>
          <w:color w:val="000000" w:themeColor="text1"/>
          <w:sz w:val="24"/>
          <w:szCs w:val="24"/>
        </w:rPr>
        <w:t xml:space="preserve"> (Jones &amp; Baldwin, 2018)</w:t>
      </w:r>
      <w:r w:rsidR="00B74657" w:rsidRPr="003E2C1D">
        <w:rPr>
          <w:rFonts w:ascii="Times New Roman" w:hAnsi="Times New Roman" w:cs="Times New Roman"/>
          <w:color w:val="000000" w:themeColor="text1"/>
          <w:sz w:val="24"/>
          <w:szCs w:val="24"/>
        </w:rPr>
        <w:t xml:space="preserve">. These drugs are administered intravenously using central venous catheters. Radiotherapy is another significant treatment mode that utilizes high energy rays to destroy cancer cells. The standard </w:t>
      </w:r>
      <w:r w:rsidR="00A3000A" w:rsidRPr="003E2C1D">
        <w:rPr>
          <w:rFonts w:ascii="Times New Roman" w:hAnsi="Times New Roman" w:cs="Times New Roman"/>
          <w:color w:val="000000" w:themeColor="text1"/>
          <w:sz w:val="24"/>
          <w:szCs w:val="24"/>
        </w:rPr>
        <w:t xml:space="preserve">external beam radiation therapy (EBRT) is administered every day for several weeks. </w:t>
      </w:r>
      <w:r w:rsidR="00C42384" w:rsidRPr="003E2C1D">
        <w:rPr>
          <w:rFonts w:ascii="Times New Roman" w:hAnsi="Times New Roman" w:cs="Times New Roman"/>
          <w:color w:val="000000" w:themeColor="text1"/>
          <w:sz w:val="24"/>
          <w:szCs w:val="24"/>
        </w:rPr>
        <w:t xml:space="preserve">Treatment of symptoms is done for 4-5 weeks while radiation therapy is done by administration of 10-15 treatments. </w:t>
      </w:r>
    </w:p>
    <w:p w:rsidR="003E342C"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t>Significance of the Case</w:t>
      </w:r>
    </w:p>
    <w:p w:rsidR="003E342C" w:rsidRPr="003E2C1D" w:rsidRDefault="0046328E" w:rsidP="003E2C1D">
      <w:pPr>
        <w:spacing w:after="0" w:line="480" w:lineRule="auto"/>
        <w:ind w:firstLine="851"/>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t xml:space="preserve">The information provided by the case is significant in enhancing understanding of the disease process and treatment by the master's prepared nurse. The case provides significant information on how the disease affects the physiological functioning of the body which provides an understanding of the disease process to the nurse. More so, the pathophysiological description provides the nurse a basis for evidence-based practice when managing lung cancer. The case provides information that enhances understanding of the impacts of the disease on the body which firms a basis for health education by the master's prepared nurse. For example, understanding the diagnosis and management of the disease the </w:t>
      </w:r>
      <w:r w:rsidRPr="003E2C1D">
        <w:rPr>
          <w:rFonts w:ascii="Times New Roman" w:hAnsi="Times New Roman" w:cs="Times New Roman"/>
          <w:color w:val="000000" w:themeColor="text1"/>
          <w:sz w:val="24"/>
          <w:szCs w:val="24"/>
        </w:rPr>
        <w:lastRenderedPageBreak/>
        <w:t xml:space="preserve">nurse will be able to advise the patient on essential treatment options that are available for lung cancer. Pathophysiology of the disease in weakening the immune system is a significant knowledge to include in health education to provide different options that will enhance </w:t>
      </w:r>
      <w:r w:rsidR="00C77B18" w:rsidRPr="003E2C1D">
        <w:rPr>
          <w:rFonts w:ascii="Times New Roman" w:hAnsi="Times New Roman" w:cs="Times New Roman"/>
          <w:color w:val="000000" w:themeColor="text1"/>
          <w:sz w:val="24"/>
          <w:szCs w:val="24"/>
        </w:rPr>
        <w:t>support for the immune system such as dietary modifications</w:t>
      </w:r>
      <w:r w:rsidR="003E2C1D" w:rsidRPr="003E2C1D">
        <w:rPr>
          <w:rFonts w:ascii="Times New Roman" w:hAnsi="Times New Roman" w:cs="Times New Roman"/>
          <w:color w:val="000000" w:themeColor="text1"/>
          <w:sz w:val="24"/>
          <w:szCs w:val="24"/>
        </w:rPr>
        <w:t xml:space="preserve"> (Jones &amp; Baldwin, 2018)</w:t>
      </w:r>
      <w:r w:rsidR="00C77B18" w:rsidRPr="003E2C1D">
        <w:rPr>
          <w:rFonts w:ascii="Times New Roman" w:hAnsi="Times New Roman" w:cs="Times New Roman"/>
          <w:color w:val="000000" w:themeColor="text1"/>
          <w:sz w:val="24"/>
          <w:szCs w:val="24"/>
        </w:rPr>
        <w:t xml:space="preserve">. </w:t>
      </w:r>
      <w:r w:rsidR="003E7069" w:rsidRPr="003E2C1D">
        <w:rPr>
          <w:rFonts w:ascii="Times New Roman" w:hAnsi="Times New Roman" w:cs="Times New Roman"/>
          <w:color w:val="000000" w:themeColor="text1"/>
          <w:sz w:val="24"/>
          <w:szCs w:val="24"/>
        </w:rPr>
        <w:t>The most significant information provided in the case is the specific treatment modalities for SCLC and NSCLC which enhances the effectiveness of the management. The most challenging information is the effectiveness of the treatment modalities such as chemotherapy, and radiotherapy which are also linked to the low immune system. Therefore, the effectiveness of the treatment can be disputed since they enhance weak immune which exposes the patient to more pathologic processes of the disease. The patient safety issue that can be addressed for a patient with lung cancer is the adverse impacts of chemotherapy such as diarrhea, constipation, nausea, loss of appetite, and weakening of the immune system. The patient has to be evaluated for these adverse impacts to enhance positive outcomes in treatment.</w:t>
      </w: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Default="003E2C1D" w:rsidP="003E2C1D">
      <w:pPr>
        <w:spacing w:after="0" w:line="480" w:lineRule="auto"/>
        <w:ind w:firstLine="851"/>
        <w:rPr>
          <w:rFonts w:ascii="Times New Roman" w:hAnsi="Times New Roman" w:cs="Times New Roman"/>
          <w:b/>
          <w:bCs/>
          <w:color w:val="000000" w:themeColor="text1"/>
          <w:sz w:val="24"/>
          <w:szCs w:val="24"/>
        </w:rPr>
      </w:pPr>
    </w:p>
    <w:p w:rsidR="003E2C1D" w:rsidRPr="003E2C1D" w:rsidRDefault="0046328E" w:rsidP="003E2C1D">
      <w:pPr>
        <w:spacing w:after="0" w:line="480" w:lineRule="auto"/>
        <w:ind w:firstLine="851"/>
        <w:jc w:val="center"/>
        <w:rPr>
          <w:rFonts w:ascii="Times New Roman" w:hAnsi="Times New Roman" w:cs="Times New Roman"/>
          <w:b/>
          <w:bCs/>
          <w:color w:val="000000" w:themeColor="text1"/>
          <w:sz w:val="24"/>
          <w:szCs w:val="24"/>
        </w:rPr>
      </w:pPr>
      <w:r w:rsidRPr="003E2C1D">
        <w:rPr>
          <w:rFonts w:ascii="Times New Roman" w:hAnsi="Times New Roman" w:cs="Times New Roman"/>
          <w:b/>
          <w:bCs/>
          <w:color w:val="000000" w:themeColor="text1"/>
          <w:sz w:val="24"/>
          <w:szCs w:val="24"/>
        </w:rPr>
        <w:t>References</w:t>
      </w:r>
    </w:p>
    <w:p w:rsidR="003E2C1D" w:rsidRPr="003E2C1D" w:rsidRDefault="0046328E" w:rsidP="003E2C1D">
      <w:pPr>
        <w:spacing w:after="0" w:line="480" w:lineRule="auto"/>
        <w:ind w:left="851" w:hanging="851"/>
        <w:rPr>
          <w:rFonts w:ascii="Times New Roman" w:hAnsi="Times New Roman" w:cs="Times New Roman"/>
          <w:color w:val="000000" w:themeColor="text1"/>
          <w:sz w:val="24"/>
          <w:szCs w:val="24"/>
          <w:shd w:val="clear" w:color="auto" w:fill="FFFFFF"/>
        </w:rPr>
      </w:pPr>
      <w:r w:rsidRPr="003E2C1D">
        <w:rPr>
          <w:rFonts w:ascii="Times New Roman" w:hAnsi="Times New Roman" w:cs="Times New Roman"/>
          <w:color w:val="000000" w:themeColor="text1"/>
          <w:sz w:val="24"/>
          <w:szCs w:val="24"/>
          <w:shd w:val="clear" w:color="auto" w:fill="FFFFFF"/>
        </w:rPr>
        <w:t>de Groot, P. M., Wu, C. C., Carter, B. W., &amp; Munden, R. F. (2018). The epidemiology of lung cancer. </w:t>
      </w:r>
      <w:r w:rsidRPr="003E2C1D">
        <w:rPr>
          <w:rFonts w:ascii="Times New Roman" w:hAnsi="Times New Roman" w:cs="Times New Roman"/>
          <w:i/>
          <w:iCs/>
          <w:color w:val="000000" w:themeColor="text1"/>
          <w:sz w:val="24"/>
          <w:szCs w:val="24"/>
          <w:shd w:val="clear" w:color="auto" w:fill="FFFFFF"/>
        </w:rPr>
        <w:t>Translational lung cancer research</w:t>
      </w:r>
      <w:r w:rsidRPr="003E2C1D">
        <w:rPr>
          <w:rFonts w:ascii="Times New Roman" w:hAnsi="Times New Roman" w:cs="Times New Roman"/>
          <w:color w:val="000000" w:themeColor="text1"/>
          <w:sz w:val="24"/>
          <w:szCs w:val="24"/>
          <w:shd w:val="clear" w:color="auto" w:fill="FFFFFF"/>
        </w:rPr>
        <w:t>, </w:t>
      </w:r>
      <w:r w:rsidRPr="003E2C1D">
        <w:rPr>
          <w:rFonts w:ascii="Times New Roman" w:hAnsi="Times New Roman" w:cs="Times New Roman"/>
          <w:i/>
          <w:iCs/>
          <w:color w:val="000000" w:themeColor="text1"/>
          <w:sz w:val="24"/>
          <w:szCs w:val="24"/>
          <w:shd w:val="clear" w:color="auto" w:fill="FFFFFF"/>
        </w:rPr>
        <w:t>7</w:t>
      </w:r>
      <w:r w:rsidRPr="003E2C1D">
        <w:rPr>
          <w:rFonts w:ascii="Times New Roman" w:hAnsi="Times New Roman" w:cs="Times New Roman"/>
          <w:color w:val="000000" w:themeColor="text1"/>
          <w:sz w:val="24"/>
          <w:szCs w:val="24"/>
          <w:shd w:val="clear" w:color="auto" w:fill="FFFFFF"/>
        </w:rPr>
        <w:t xml:space="preserve">(3), 220–233. </w:t>
      </w:r>
      <w:hyperlink r:id="rId6" w:history="1">
        <w:r w:rsidRPr="003E2C1D">
          <w:rPr>
            <w:rStyle w:val="Hyperlink"/>
            <w:rFonts w:ascii="Times New Roman" w:hAnsi="Times New Roman" w:cs="Times New Roman"/>
            <w:color w:val="000000" w:themeColor="text1"/>
            <w:sz w:val="24"/>
            <w:szCs w:val="24"/>
            <w:u w:val="none"/>
            <w:shd w:val="clear" w:color="auto" w:fill="FFFFFF"/>
          </w:rPr>
          <w:t>https://doi.org/10.21037/tlcr.2018.05.06</w:t>
        </w:r>
      </w:hyperlink>
    </w:p>
    <w:p w:rsidR="003E2C1D" w:rsidRPr="003E2C1D" w:rsidRDefault="0046328E" w:rsidP="003E2C1D">
      <w:pPr>
        <w:spacing w:after="0" w:line="480" w:lineRule="auto"/>
        <w:ind w:left="851" w:hanging="851"/>
        <w:rPr>
          <w:rFonts w:ascii="Times New Roman" w:hAnsi="Times New Roman" w:cs="Times New Roman"/>
          <w:b/>
          <w:bCs/>
          <w:color w:val="000000" w:themeColor="text1"/>
          <w:sz w:val="24"/>
          <w:szCs w:val="24"/>
        </w:rPr>
      </w:pPr>
      <w:r w:rsidRPr="003E2C1D">
        <w:rPr>
          <w:rFonts w:ascii="Times New Roman" w:hAnsi="Times New Roman" w:cs="Times New Roman"/>
          <w:i/>
          <w:iCs/>
          <w:color w:val="000000" w:themeColor="text1"/>
          <w:sz w:val="24"/>
          <w:szCs w:val="24"/>
          <w:shd w:val="clear" w:color="auto" w:fill="FFFFFF"/>
        </w:rPr>
        <w:t>How Is Lung Cancer Diagnosed and Treated? | CDC</w:t>
      </w:r>
      <w:r w:rsidRPr="003E2C1D">
        <w:rPr>
          <w:rFonts w:ascii="Times New Roman" w:hAnsi="Times New Roman" w:cs="Times New Roman"/>
          <w:color w:val="000000" w:themeColor="text1"/>
          <w:sz w:val="24"/>
          <w:szCs w:val="24"/>
          <w:shd w:val="clear" w:color="auto" w:fill="FFFFFF"/>
        </w:rPr>
        <w:t>. Cdc.gov. (2020). Retrieved 20 January 2021, from https://www.cdc.gov/cancer/lung/basic_info/diagnosis_treatment.htm.</w:t>
      </w:r>
    </w:p>
    <w:p w:rsidR="003E2C1D" w:rsidRPr="003E2C1D" w:rsidRDefault="0046328E" w:rsidP="003E2C1D">
      <w:pPr>
        <w:spacing w:after="0" w:line="480" w:lineRule="auto"/>
        <w:ind w:left="851" w:hanging="851"/>
        <w:rPr>
          <w:rFonts w:ascii="Times New Roman" w:hAnsi="Times New Roman" w:cs="Times New Roman"/>
          <w:color w:val="000000" w:themeColor="text1"/>
          <w:sz w:val="24"/>
          <w:szCs w:val="24"/>
          <w:shd w:val="clear" w:color="auto" w:fill="FFFFFF"/>
        </w:rPr>
      </w:pPr>
      <w:r w:rsidRPr="003E2C1D">
        <w:rPr>
          <w:rFonts w:ascii="Times New Roman" w:hAnsi="Times New Roman" w:cs="Times New Roman"/>
          <w:color w:val="000000" w:themeColor="text1"/>
          <w:sz w:val="24"/>
          <w:szCs w:val="24"/>
          <w:shd w:val="clear" w:color="auto" w:fill="FFFFFF"/>
        </w:rPr>
        <w:t>Jones, G. S., &amp; Baldwin, D. R. (2018). Recent advances in the management of lung cancer. </w:t>
      </w:r>
      <w:r w:rsidRPr="003E2C1D">
        <w:rPr>
          <w:rFonts w:ascii="Times New Roman" w:hAnsi="Times New Roman" w:cs="Times New Roman"/>
          <w:i/>
          <w:iCs/>
          <w:color w:val="000000" w:themeColor="text1"/>
          <w:sz w:val="24"/>
          <w:szCs w:val="24"/>
          <w:shd w:val="clear" w:color="auto" w:fill="FFFFFF"/>
        </w:rPr>
        <w:t>Clinical medicine (London, England)</w:t>
      </w:r>
      <w:r w:rsidRPr="003E2C1D">
        <w:rPr>
          <w:rFonts w:ascii="Times New Roman" w:hAnsi="Times New Roman" w:cs="Times New Roman"/>
          <w:color w:val="000000" w:themeColor="text1"/>
          <w:sz w:val="24"/>
          <w:szCs w:val="24"/>
          <w:shd w:val="clear" w:color="auto" w:fill="FFFFFF"/>
        </w:rPr>
        <w:t>, </w:t>
      </w:r>
      <w:r w:rsidRPr="003E2C1D">
        <w:rPr>
          <w:rFonts w:ascii="Times New Roman" w:hAnsi="Times New Roman" w:cs="Times New Roman"/>
          <w:i/>
          <w:iCs/>
          <w:color w:val="000000" w:themeColor="text1"/>
          <w:sz w:val="24"/>
          <w:szCs w:val="24"/>
          <w:shd w:val="clear" w:color="auto" w:fill="FFFFFF"/>
        </w:rPr>
        <w:t>18</w:t>
      </w:r>
      <w:r w:rsidRPr="003E2C1D">
        <w:rPr>
          <w:rFonts w:ascii="Times New Roman" w:hAnsi="Times New Roman" w:cs="Times New Roman"/>
          <w:color w:val="000000" w:themeColor="text1"/>
          <w:sz w:val="24"/>
          <w:szCs w:val="24"/>
          <w:shd w:val="clear" w:color="auto" w:fill="FFFFFF"/>
        </w:rPr>
        <w:t xml:space="preserve">(Suppl 2), s41–s46. </w:t>
      </w:r>
      <w:hyperlink r:id="rId7" w:history="1">
        <w:r w:rsidRPr="003E2C1D">
          <w:rPr>
            <w:rStyle w:val="Hyperlink"/>
            <w:rFonts w:ascii="Times New Roman" w:hAnsi="Times New Roman" w:cs="Times New Roman"/>
            <w:color w:val="000000" w:themeColor="text1"/>
            <w:sz w:val="24"/>
            <w:szCs w:val="24"/>
            <w:u w:val="none"/>
            <w:shd w:val="clear" w:color="auto" w:fill="FFFFFF"/>
          </w:rPr>
          <w:t>https://doi.org/10.7861/clinmedicine.18-2-s41</w:t>
        </w:r>
      </w:hyperlink>
    </w:p>
    <w:p w:rsidR="003E2C1D" w:rsidRPr="003E2C1D" w:rsidRDefault="0046328E" w:rsidP="003E2C1D">
      <w:pPr>
        <w:spacing w:after="0" w:line="480" w:lineRule="auto"/>
        <w:ind w:left="851" w:hanging="851"/>
        <w:rPr>
          <w:rFonts w:ascii="Times New Roman" w:hAnsi="Times New Roman" w:cs="Times New Roman"/>
          <w:color w:val="000000" w:themeColor="text1"/>
          <w:sz w:val="24"/>
          <w:szCs w:val="24"/>
          <w:shd w:val="clear" w:color="auto" w:fill="FFFFFF"/>
        </w:rPr>
      </w:pPr>
      <w:r w:rsidRPr="003E2C1D">
        <w:rPr>
          <w:rFonts w:ascii="Times New Roman" w:hAnsi="Times New Roman" w:cs="Times New Roman"/>
          <w:color w:val="000000" w:themeColor="text1"/>
          <w:sz w:val="24"/>
          <w:szCs w:val="24"/>
          <w:shd w:val="clear" w:color="auto" w:fill="FFFFFF"/>
        </w:rPr>
        <w:t>Lemjabbar-Alaoui, H., Hassan, O. U., Yang, Y. W., &amp; Buchanan, P. (2015). Lung cancer: Biology and treatment options. </w:t>
      </w:r>
      <w:r w:rsidRPr="003E2C1D">
        <w:rPr>
          <w:rFonts w:ascii="Times New Roman" w:hAnsi="Times New Roman" w:cs="Times New Roman"/>
          <w:i/>
          <w:iCs/>
          <w:color w:val="000000" w:themeColor="text1"/>
          <w:sz w:val="24"/>
          <w:szCs w:val="24"/>
          <w:shd w:val="clear" w:color="auto" w:fill="FFFFFF"/>
        </w:rPr>
        <w:t>Biochimica et Biophysica Acta</w:t>
      </w:r>
      <w:r w:rsidRPr="003E2C1D">
        <w:rPr>
          <w:rFonts w:ascii="Times New Roman" w:hAnsi="Times New Roman" w:cs="Times New Roman"/>
          <w:color w:val="000000" w:themeColor="text1"/>
          <w:sz w:val="24"/>
          <w:szCs w:val="24"/>
          <w:shd w:val="clear" w:color="auto" w:fill="FFFFFF"/>
        </w:rPr>
        <w:t>, </w:t>
      </w:r>
      <w:r w:rsidRPr="003E2C1D">
        <w:rPr>
          <w:rFonts w:ascii="Times New Roman" w:hAnsi="Times New Roman" w:cs="Times New Roman"/>
          <w:i/>
          <w:iCs/>
          <w:color w:val="000000" w:themeColor="text1"/>
          <w:sz w:val="24"/>
          <w:szCs w:val="24"/>
          <w:shd w:val="clear" w:color="auto" w:fill="FFFFFF"/>
        </w:rPr>
        <w:t>1856</w:t>
      </w:r>
      <w:r w:rsidRPr="003E2C1D">
        <w:rPr>
          <w:rFonts w:ascii="Times New Roman" w:hAnsi="Times New Roman" w:cs="Times New Roman"/>
          <w:color w:val="000000" w:themeColor="text1"/>
          <w:sz w:val="24"/>
          <w:szCs w:val="24"/>
          <w:shd w:val="clear" w:color="auto" w:fill="FFFFFF"/>
        </w:rPr>
        <w:t xml:space="preserve">(2), 189–210. </w:t>
      </w:r>
      <w:hyperlink r:id="rId8" w:history="1">
        <w:r w:rsidRPr="003E2C1D">
          <w:rPr>
            <w:rStyle w:val="Hyperlink"/>
            <w:rFonts w:ascii="Times New Roman" w:hAnsi="Times New Roman" w:cs="Times New Roman"/>
            <w:color w:val="000000" w:themeColor="text1"/>
            <w:sz w:val="24"/>
            <w:szCs w:val="24"/>
            <w:u w:val="none"/>
            <w:shd w:val="clear" w:color="auto" w:fill="FFFFFF"/>
          </w:rPr>
          <w:t>https://doi.org/10.1016/j.bbcan.2015.08.002</w:t>
        </w:r>
      </w:hyperlink>
    </w:p>
    <w:sectPr w:rsidR="003E2C1D" w:rsidRPr="003E2C1D" w:rsidSect="00E5283E">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470" w:rsidRDefault="006C2470" w:rsidP="00E5283E">
      <w:pPr>
        <w:spacing w:after="0" w:line="240" w:lineRule="auto"/>
      </w:pPr>
      <w:r>
        <w:separator/>
      </w:r>
    </w:p>
  </w:endnote>
  <w:endnote w:type="continuationSeparator" w:id="1">
    <w:p w:rsidR="006C2470" w:rsidRDefault="006C2470" w:rsidP="00E52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470" w:rsidRDefault="006C2470" w:rsidP="00E5283E">
      <w:pPr>
        <w:spacing w:after="0" w:line="240" w:lineRule="auto"/>
      </w:pPr>
      <w:r>
        <w:separator/>
      </w:r>
    </w:p>
  </w:footnote>
  <w:footnote w:type="continuationSeparator" w:id="1">
    <w:p w:rsidR="006C2470" w:rsidRDefault="006C2470" w:rsidP="00E52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746135"/>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3E2C1D" w:rsidRPr="003E2C1D" w:rsidRDefault="008F5FF9">
        <w:pPr>
          <w:pStyle w:val="Header"/>
          <w:jc w:val="right"/>
          <w:rPr>
            <w:rFonts w:ascii="Times New Roman" w:hAnsi="Times New Roman" w:cs="Times New Roman"/>
            <w:color w:val="000000" w:themeColor="text1"/>
            <w:sz w:val="24"/>
            <w:szCs w:val="24"/>
          </w:rPr>
        </w:pPr>
        <w:r w:rsidRPr="003E2C1D">
          <w:rPr>
            <w:rFonts w:ascii="Times New Roman" w:hAnsi="Times New Roman" w:cs="Times New Roman"/>
            <w:color w:val="000000" w:themeColor="text1"/>
            <w:sz w:val="24"/>
            <w:szCs w:val="24"/>
          </w:rPr>
          <w:fldChar w:fldCharType="begin"/>
        </w:r>
        <w:r w:rsidR="0046328E" w:rsidRPr="003E2C1D">
          <w:rPr>
            <w:rFonts w:ascii="Times New Roman" w:hAnsi="Times New Roman" w:cs="Times New Roman"/>
            <w:color w:val="000000" w:themeColor="text1"/>
            <w:sz w:val="24"/>
            <w:szCs w:val="24"/>
          </w:rPr>
          <w:instrText xml:space="preserve"> PAGE   \* MERGEFORMAT </w:instrText>
        </w:r>
        <w:r w:rsidRPr="003E2C1D">
          <w:rPr>
            <w:rFonts w:ascii="Times New Roman" w:hAnsi="Times New Roman" w:cs="Times New Roman"/>
            <w:color w:val="000000" w:themeColor="text1"/>
            <w:sz w:val="24"/>
            <w:szCs w:val="24"/>
          </w:rPr>
          <w:fldChar w:fldCharType="separate"/>
        </w:r>
        <w:r w:rsidR="0070591B">
          <w:rPr>
            <w:rFonts w:ascii="Times New Roman" w:hAnsi="Times New Roman" w:cs="Times New Roman"/>
            <w:noProof/>
            <w:color w:val="000000" w:themeColor="text1"/>
            <w:sz w:val="24"/>
            <w:szCs w:val="24"/>
          </w:rPr>
          <w:t>1</w:t>
        </w:r>
        <w:r w:rsidRPr="003E2C1D">
          <w:rPr>
            <w:rFonts w:ascii="Times New Roman" w:hAnsi="Times New Roman" w:cs="Times New Roman"/>
            <w:noProof/>
            <w:color w:val="000000" w:themeColor="text1"/>
            <w:sz w:val="24"/>
            <w:szCs w:val="24"/>
          </w:rPr>
          <w:fldChar w:fldCharType="end"/>
        </w:r>
      </w:p>
    </w:sdtContent>
  </w:sdt>
  <w:p w:rsidR="003E2C1D" w:rsidRDefault="003E2C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3917"/>
    <w:rsid w:val="00041E83"/>
    <w:rsid w:val="002655C8"/>
    <w:rsid w:val="002B0E0D"/>
    <w:rsid w:val="002C7A16"/>
    <w:rsid w:val="00380BF5"/>
    <w:rsid w:val="003E2C1D"/>
    <w:rsid w:val="003E342C"/>
    <w:rsid w:val="003E7069"/>
    <w:rsid w:val="0046328E"/>
    <w:rsid w:val="004F007C"/>
    <w:rsid w:val="00533917"/>
    <w:rsid w:val="006C2470"/>
    <w:rsid w:val="0070591B"/>
    <w:rsid w:val="0071243E"/>
    <w:rsid w:val="00742767"/>
    <w:rsid w:val="00782E86"/>
    <w:rsid w:val="007D4516"/>
    <w:rsid w:val="008F517D"/>
    <w:rsid w:val="008F5FF9"/>
    <w:rsid w:val="00A3000A"/>
    <w:rsid w:val="00B74657"/>
    <w:rsid w:val="00BC1083"/>
    <w:rsid w:val="00C42384"/>
    <w:rsid w:val="00C77B18"/>
    <w:rsid w:val="00CF1A1D"/>
    <w:rsid w:val="00E5283E"/>
    <w:rsid w:val="00F84B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8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2C1D"/>
    <w:rPr>
      <w:color w:val="0563C1" w:themeColor="hyperlink"/>
      <w:u w:val="single"/>
    </w:rPr>
  </w:style>
  <w:style w:type="character" w:customStyle="1" w:styleId="UnresolvedMention">
    <w:name w:val="Unresolved Mention"/>
    <w:basedOn w:val="DefaultParagraphFont"/>
    <w:uiPriority w:val="99"/>
    <w:semiHidden/>
    <w:unhideWhenUsed/>
    <w:rsid w:val="003E2C1D"/>
    <w:rPr>
      <w:color w:val="605E5C"/>
      <w:shd w:val="clear" w:color="auto" w:fill="E1DFDD"/>
    </w:rPr>
  </w:style>
  <w:style w:type="paragraph" w:styleId="Header">
    <w:name w:val="header"/>
    <w:basedOn w:val="Normal"/>
    <w:link w:val="HeaderChar"/>
    <w:uiPriority w:val="99"/>
    <w:unhideWhenUsed/>
    <w:rsid w:val="003E2C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C1D"/>
  </w:style>
  <w:style w:type="paragraph" w:styleId="Footer">
    <w:name w:val="footer"/>
    <w:basedOn w:val="Normal"/>
    <w:link w:val="FooterChar"/>
    <w:uiPriority w:val="99"/>
    <w:unhideWhenUsed/>
    <w:rsid w:val="003E2C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C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bcan.2015.08.002" TargetMode="External"/><Relationship Id="rId3" Type="http://schemas.openxmlformats.org/officeDocument/2006/relationships/webSettings" Target="webSettings.xml"/><Relationship Id="rId7" Type="http://schemas.openxmlformats.org/officeDocument/2006/relationships/hyperlink" Target="https://doi.org/10.7861/clinmedicine.18-2-s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037/tlcr.2018.05.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2021-01-21T07:08:00Z</dcterms:created>
  <dcterms:modified xsi:type="dcterms:W3CDTF">2021-01-21T07:08:00Z</dcterms:modified>
</cp:coreProperties>
</file>